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1A" w:rsidRPr="00B1361A" w:rsidRDefault="0032492C" w:rsidP="00B1361A">
      <w:pPr>
        <w:shd w:val="clear" w:color="auto" w:fill="FFFFFF"/>
        <w:spacing w:after="180" w:line="324" w:lineRule="atLeast"/>
        <w:outlineLvl w:val="0"/>
        <w:rPr>
          <w:rFonts w:ascii="Tahoma" w:hAnsi="Tahoma" w:cs="Tahoma"/>
          <w:color w:val="000000"/>
          <w:kern w:val="36"/>
          <w:szCs w:val="27"/>
        </w:rPr>
      </w:pPr>
      <w:bookmarkStart w:id="0" w:name="_GoBack"/>
      <w:bookmarkEnd w:id="0"/>
      <w:r>
        <w:rPr>
          <w:rFonts w:ascii="Tahoma" w:hAnsi="Tahoma" w:cs="Tahoma"/>
          <w:b/>
          <w:bCs/>
          <w:color w:val="6CB33E"/>
          <w:kern w:val="36"/>
          <w:szCs w:val="27"/>
        </w:rPr>
        <w:t>Coal Harbour Phase 2</w:t>
      </w:r>
    </w:p>
    <w:p w:rsidR="00FC1BFC" w:rsidRDefault="0032492C" w:rsidP="0032492C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>
        <w:rPr>
          <w:rFonts w:ascii="Arial" w:hAnsi="Arial" w:cs="Arial"/>
          <w:color w:val="646567"/>
          <w:kern w:val="0"/>
          <w:sz w:val="18"/>
          <w:szCs w:val="18"/>
        </w:rPr>
        <w:t>O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>n February 27, 2019</w:t>
      </w:r>
      <w:r>
        <w:rPr>
          <w:rFonts w:ascii="Arial" w:hAnsi="Arial" w:cs="Arial"/>
          <w:color w:val="646567"/>
          <w:kern w:val="0"/>
          <w:sz w:val="18"/>
          <w:szCs w:val="18"/>
        </w:rPr>
        <w:t>, City Council formally approved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 xml:space="preserve"> the Coal Harbour Project and authorize</w:t>
      </w:r>
      <w:r>
        <w:rPr>
          <w:rFonts w:ascii="Arial" w:hAnsi="Arial" w:cs="Arial"/>
          <w:color w:val="646567"/>
          <w:kern w:val="0"/>
          <w:sz w:val="18"/>
          <w:szCs w:val="18"/>
        </w:rPr>
        <w:t>d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 xml:space="preserve"> the start of project planning, programming and schematic design work </w:t>
      </w:r>
      <w:r>
        <w:rPr>
          <w:rFonts w:ascii="Arial" w:hAnsi="Arial" w:cs="Arial"/>
          <w:color w:val="646567"/>
          <w:kern w:val="0"/>
          <w:sz w:val="18"/>
          <w:szCs w:val="18"/>
        </w:rPr>
        <w:t xml:space="preserve">that will 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>subsequently leading to the full design and construction of this project</w:t>
      </w:r>
      <w:r>
        <w:rPr>
          <w:rFonts w:ascii="Arial" w:hAnsi="Arial" w:cs="Arial"/>
          <w:color w:val="646567"/>
          <w:kern w:val="0"/>
          <w:sz w:val="18"/>
          <w:szCs w:val="18"/>
        </w:rPr>
        <w:t>.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 xml:space="preserve"> Prior to </w:t>
      </w:r>
      <w:r w:rsidR="00FC1BFC" w:rsidRPr="00FC1BFC">
        <w:rPr>
          <w:rFonts w:ascii="Arial" w:hAnsi="Arial" w:cs="Arial"/>
          <w:color w:val="646567"/>
          <w:kern w:val="0"/>
          <w:sz w:val="18"/>
          <w:szCs w:val="18"/>
        </w:rPr>
        <w:t>the Council Report, the Vancouver School Board received approval from the Ministry of Education to proceed with the project.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 xml:space="preserve"> </w:t>
      </w:r>
    </w:p>
    <w:p w:rsidR="0032492C" w:rsidRDefault="0032492C" w:rsidP="0032492C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 w:rsidRPr="0032492C">
        <w:rPr>
          <w:rFonts w:ascii="Arial" w:hAnsi="Arial" w:cs="Arial"/>
          <w:color w:val="646567"/>
          <w:kern w:val="0"/>
          <w:sz w:val="18"/>
          <w:szCs w:val="18"/>
        </w:rPr>
        <w:t xml:space="preserve">The project </w:t>
      </w:r>
      <w:r>
        <w:rPr>
          <w:rFonts w:ascii="Arial" w:hAnsi="Arial" w:cs="Arial"/>
          <w:color w:val="646567"/>
          <w:kern w:val="0"/>
          <w:sz w:val="18"/>
          <w:szCs w:val="18"/>
        </w:rPr>
        <w:t>will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 xml:space="preserve"> deliver a mixed use building accommodating an elementary school</w:t>
      </w:r>
      <w:r w:rsidR="00F50D56">
        <w:rPr>
          <w:rFonts w:ascii="Arial" w:hAnsi="Arial" w:cs="Arial"/>
          <w:color w:val="646567"/>
          <w:kern w:val="0"/>
          <w:sz w:val="18"/>
          <w:szCs w:val="18"/>
        </w:rPr>
        <w:t xml:space="preserve"> (includes additional area for a Neighbourhood Learning Centre)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>, a 69-space child care</w:t>
      </w:r>
      <w:r w:rsidR="004C3FCB">
        <w:rPr>
          <w:rFonts w:ascii="Arial" w:hAnsi="Arial" w:cs="Arial"/>
          <w:color w:val="646567"/>
          <w:kern w:val="0"/>
          <w:sz w:val="18"/>
          <w:szCs w:val="18"/>
        </w:rPr>
        <w:t>,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 xml:space="preserve"> and non-market housing.  This project is phase two of the Coal Harbour Community Centre and park</w:t>
      </w:r>
      <w:r>
        <w:rPr>
          <w:rFonts w:ascii="Arial" w:hAnsi="Arial" w:cs="Arial"/>
          <w:color w:val="646567"/>
          <w:kern w:val="0"/>
          <w:sz w:val="18"/>
          <w:szCs w:val="18"/>
        </w:rPr>
        <w:t xml:space="preserve"> constructed in 2000</w:t>
      </w:r>
      <w:r w:rsidRPr="0032492C">
        <w:rPr>
          <w:rFonts w:ascii="Arial" w:hAnsi="Arial" w:cs="Arial"/>
          <w:color w:val="646567"/>
          <w:kern w:val="0"/>
          <w:sz w:val="18"/>
          <w:szCs w:val="18"/>
        </w:rPr>
        <w:t>.  Access to existing and new facilities, park and parking will be resolved holistica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 xml:space="preserve">lly for the combined site with </w:t>
      </w:r>
      <w:r w:rsidR="00FC1BFC" w:rsidRPr="00FC1BFC">
        <w:rPr>
          <w:rFonts w:ascii="Arial" w:hAnsi="Arial" w:cs="Arial"/>
          <w:color w:val="646567"/>
          <w:kern w:val="0"/>
          <w:sz w:val="18"/>
          <w:szCs w:val="18"/>
        </w:rPr>
        <w:t xml:space="preserve">engagement 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>from the community</w:t>
      </w:r>
      <w:r w:rsidR="00FC1BFC" w:rsidRPr="00FC1BFC">
        <w:rPr>
          <w:rFonts w:ascii="Arial" w:hAnsi="Arial" w:cs="Arial"/>
          <w:color w:val="646567"/>
          <w:kern w:val="0"/>
          <w:sz w:val="18"/>
          <w:szCs w:val="18"/>
        </w:rPr>
        <w:t xml:space="preserve"> and stakeholders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>.</w:t>
      </w:r>
    </w:p>
    <w:p w:rsidR="00B1361A" w:rsidRDefault="00B1361A" w:rsidP="0032492C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The project will be coordinated with plans for </w:t>
      </w:r>
      <w:r w:rsidR="0032492C">
        <w:rPr>
          <w:rFonts w:ascii="Arial" w:hAnsi="Arial" w:cs="Arial"/>
          <w:color w:val="646567"/>
          <w:kern w:val="0"/>
          <w:sz w:val="18"/>
          <w:szCs w:val="18"/>
        </w:rPr>
        <w:t xml:space="preserve">the Master Plan for the West End Community Centre and King George Secondary School </w:t>
      </w:r>
      <w:r w:rsidR="004C3FCB">
        <w:rPr>
          <w:rFonts w:ascii="Arial" w:hAnsi="Arial" w:cs="Arial"/>
          <w:color w:val="646567"/>
          <w:kern w:val="0"/>
          <w:sz w:val="18"/>
          <w:szCs w:val="18"/>
        </w:rPr>
        <w:t>s</w:t>
      </w:r>
      <w:r w:rsidR="0032492C">
        <w:rPr>
          <w:rFonts w:ascii="Arial" w:hAnsi="Arial" w:cs="Arial"/>
          <w:color w:val="646567"/>
          <w:kern w:val="0"/>
          <w:sz w:val="18"/>
          <w:szCs w:val="18"/>
        </w:rPr>
        <w:t>ite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>. We’ll share updates and ways to get involved as the planning moves forward.</w:t>
      </w:r>
    </w:p>
    <w:p w:rsidR="00A5506E" w:rsidRPr="00ED3E15" w:rsidRDefault="00A5506E" w:rsidP="00873660">
      <w:pPr>
        <w:shd w:val="clear" w:color="auto" w:fill="FFFFFF"/>
        <w:spacing w:before="240" w:after="180" w:line="324" w:lineRule="atLeast"/>
        <w:outlineLvl w:val="0"/>
        <w:rPr>
          <w:rFonts w:ascii="Tahoma" w:hAnsi="Tahoma" w:cs="Tahoma"/>
          <w:b/>
          <w:bCs/>
          <w:color w:val="6CB33E"/>
          <w:kern w:val="36"/>
          <w:sz w:val="27"/>
          <w:szCs w:val="27"/>
        </w:rPr>
      </w:pPr>
      <w:r w:rsidRPr="00ED3E15">
        <w:rPr>
          <w:rFonts w:ascii="Tahoma" w:hAnsi="Tahoma" w:cs="Tahoma"/>
          <w:b/>
          <w:bCs/>
          <w:color w:val="6CB33E"/>
          <w:kern w:val="36"/>
          <w:szCs w:val="27"/>
        </w:rPr>
        <w:t xml:space="preserve">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A5506E" w:rsidRPr="00A5506E" w:rsidTr="00ED3E15">
        <w:trPr>
          <w:trHeight w:val="413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:rsidR="00A5506E" w:rsidRPr="00A5506E" w:rsidRDefault="00A5506E" w:rsidP="00ED3E15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Milestone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:rsidR="00A5506E" w:rsidRPr="00A5506E" w:rsidRDefault="00A5506E" w:rsidP="00ED3E15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Target Delivery Date</w:t>
            </w:r>
          </w:p>
        </w:tc>
      </w:tr>
      <w:tr w:rsidR="00A5506E" w:rsidRPr="00A5506E" w:rsidTr="00ED3E15">
        <w:trPr>
          <w:trHeight w:val="602"/>
        </w:trPr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FC1BFC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Scope Definition, RFP and Consultant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Procurement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5506E" w:rsidRPr="00A5506E" w:rsidRDefault="00906FFC" w:rsidP="00F50D56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Spring / Summer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2019</w:t>
            </w:r>
          </w:p>
        </w:tc>
      </w:tr>
      <w:tr w:rsidR="00A5506E" w:rsidRPr="00A5506E" w:rsidTr="004C3FCB">
        <w:trPr>
          <w:trHeight w:val="845"/>
        </w:trPr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Stage 1 –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Schematic Design</w:t>
            </w:r>
          </w:p>
          <w:p w:rsidR="00A5506E" w:rsidRPr="00FC1BFC" w:rsidRDefault="00A5506E" w:rsidP="004C3FC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</w:t>
            </w:r>
            <w:r w:rsidR="004C3FCB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</w:t>
            </w:r>
            <w:r w:rsidR="004C3FCB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engagement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5506E" w:rsidRPr="00A5506E" w:rsidRDefault="00906FFC" w:rsidP="00F50D56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Winter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19</w:t>
            </w:r>
          </w:p>
        </w:tc>
      </w:tr>
      <w:tr w:rsidR="00A5506E" w:rsidRPr="00A5506E" w:rsidTr="004C3FCB">
        <w:trPr>
          <w:trHeight w:val="1070"/>
        </w:trPr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Stage 2 –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Design Development</w:t>
            </w:r>
          </w:p>
          <w:p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 engagement</w:t>
            </w:r>
          </w:p>
          <w:p w:rsidR="00ED3E15" w:rsidRDefault="00FC1BFC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Value Analysis</w:t>
            </w:r>
          </w:p>
          <w:p w:rsidR="0075662C" w:rsidRPr="00ED3E15" w:rsidRDefault="0075662C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Application for Development Permit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5506E" w:rsidRPr="00A5506E" w:rsidRDefault="00906FFC" w:rsidP="00906FFC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Spring – Fall 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2020</w:t>
            </w:r>
          </w:p>
        </w:tc>
      </w:tr>
      <w:tr w:rsidR="00A5506E" w:rsidRPr="00A5506E" w:rsidTr="00873660">
        <w:trPr>
          <w:trHeight w:val="980"/>
        </w:trPr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Stage 3 –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Permits and Construction Documentation</w:t>
            </w:r>
          </w:p>
          <w:p w:rsidR="00A5506E" w:rsidRDefault="00FC1BFC" w:rsidP="0087366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Tender documentation</w:t>
            </w:r>
          </w:p>
          <w:p w:rsidR="00FC1BFC" w:rsidRDefault="00FC1BFC" w:rsidP="0087366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Development Permit</w:t>
            </w:r>
          </w:p>
          <w:p w:rsidR="00FC1BFC" w:rsidRPr="00A5506E" w:rsidRDefault="00FC1BFC" w:rsidP="0087366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Building Permit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5506E" w:rsidRPr="00A5506E" w:rsidRDefault="00906FFC" w:rsidP="00906FFC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Fall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2020 –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Spring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202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1</w:t>
            </w:r>
          </w:p>
        </w:tc>
      </w:tr>
      <w:tr w:rsidR="00A5506E" w:rsidRPr="00A5506E" w:rsidTr="00873660">
        <w:trPr>
          <w:trHeight w:val="1160"/>
        </w:trPr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Stage 4 –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Contractor Procurement &amp; Construction</w:t>
            </w:r>
          </w:p>
          <w:p w:rsidR="00A5506E" w:rsidRDefault="00FC1BFC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Tender</w:t>
            </w:r>
          </w:p>
          <w:p w:rsidR="00FC1BFC" w:rsidRDefault="00FC1BFC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Contract Administration</w:t>
            </w:r>
          </w:p>
          <w:p w:rsidR="00FC1BFC" w:rsidRPr="00A5506E" w:rsidRDefault="00FC1BFC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Occupancy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5506E" w:rsidRPr="00A5506E" w:rsidRDefault="00A5506E" w:rsidP="00906FFC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202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1</w:t>
            </w: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–</w:t>
            </w:r>
            <w:r w:rsidR="00906F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</w:t>
            </w:r>
            <w:r w:rsidR="0075662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2024</w:t>
            </w:r>
          </w:p>
        </w:tc>
      </w:tr>
      <w:tr w:rsidR="00FC1BFC" w:rsidRPr="00A5506E" w:rsidTr="00FC1BFC">
        <w:trPr>
          <w:trHeight w:val="980"/>
        </w:trPr>
        <w:tc>
          <w:tcPr>
            <w:tcW w:w="4428" w:type="dxa"/>
            <w:shd w:val="clear" w:color="auto" w:fill="auto"/>
            <w:vAlign w:val="center"/>
          </w:tcPr>
          <w:p w:rsidR="00FC1BFC" w:rsidRPr="00A5506E" w:rsidRDefault="00FC1BFC" w:rsidP="00FC1BFC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Stage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5</w:t>
            </w: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Post-Occupancy</w:t>
            </w:r>
          </w:p>
          <w:p w:rsidR="00FC1BFC" w:rsidRDefault="00FC1BFC" w:rsidP="00FC1BF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Warranty review</w:t>
            </w:r>
          </w:p>
          <w:p w:rsidR="00FC1BFC" w:rsidRPr="00A5506E" w:rsidRDefault="00FC1BFC" w:rsidP="00FC1BF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Post-Occupancy commissioning processes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FC1BFC" w:rsidRPr="00A5506E" w:rsidRDefault="0075662C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2024</w:t>
            </w:r>
            <w:r w:rsidR="00FC1BFC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- onward</w:t>
            </w:r>
          </w:p>
        </w:tc>
      </w:tr>
    </w:tbl>
    <w:p w:rsidR="00873660" w:rsidRDefault="00873660" w:rsidP="00873660">
      <w:pPr>
        <w:shd w:val="clear" w:color="auto" w:fill="FFFFFF"/>
        <w:spacing w:before="240" w:after="180" w:line="324" w:lineRule="atLeast"/>
        <w:outlineLvl w:val="0"/>
        <w:rPr>
          <w:rFonts w:ascii="Tahoma" w:hAnsi="Tahoma" w:cs="Tahoma"/>
          <w:b/>
          <w:bCs/>
          <w:color w:val="6CB33E"/>
          <w:kern w:val="36"/>
          <w:szCs w:val="27"/>
        </w:rPr>
      </w:pPr>
      <w:r>
        <w:rPr>
          <w:rFonts w:ascii="Tahoma" w:hAnsi="Tahoma" w:cs="Tahoma"/>
          <w:b/>
          <w:bCs/>
          <w:color w:val="6CB33E"/>
          <w:kern w:val="36"/>
          <w:szCs w:val="27"/>
        </w:rPr>
        <w:t>Questions?</w:t>
      </w:r>
    </w:p>
    <w:p w:rsidR="00873660" w:rsidRDefault="00873660" w:rsidP="00873660">
      <w:pPr>
        <w:shd w:val="clear" w:color="auto" w:fill="FFFFFF"/>
        <w:spacing w:before="240" w:after="180" w:line="324" w:lineRule="atLeast"/>
        <w:outlineLvl w:val="0"/>
        <w:rPr>
          <w:rFonts w:ascii="Arial" w:hAnsi="Arial" w:cs="Arial"/>
          <w:color w:val="646567"/>
          <w:kern w:val="0"/>
          <w:sz w:val="18"/>
          <w:szCs w:val="18"/>
        </w:rPr>
      </w:pPr>
      <w:r w:rsidRPr="00873660">
        <w:rPr>
          <w:rFonts w:ascii="Arial" w:hAnsi="Arial" w:cs="Arial"/>
          <w:color w:val="646567"/>
          <w:kern w:val="0"/>
          <w:sz w:val="18"/>
          <w:szCs w:val="18"/>
        </w:rPr>
        <w:t xml:space="preserve">Please contact </w:t>
      </w:r>
      <w:r w:rsidR="00FC1BFC">
        <w:rPr>
          <w:rFonts w:ascii="Arial" w:hAnsi="Arial" w:cs="Arial"/>
          <w:color w:val="646567"/>
          <w:kern w:val="0"/>
          <w:sz w:val="18"/>
          <w:szCs w:val="18"/>
        </w:rPr>
        <w:t>Melanie Marchand</w:t>
      </w:r>
      <w:r>
        <w:rPr>
          <w:rFonts w:ascii="Arial" w:hAnsi="Arial" w:cs="Arial"/>
          <w:color w:val="646567"/>
          <w:kern w:val="0"/>
          <w:sz w:val="18"/>
          <w:szCs w:val="18"/>
        </w:rPr>
        <w:t>, Project Manager</w:t>
      </w:r>
      <w:r w:rsidRPr="00873660">
        <w:rPr>
          <w:rFonts w:ascii="Arial" w:hAnsi="Arial" w:cs="Arial"/>
          <w:color w:val="646567"/>
          <w:kern w:val="0"/>
          <w:sz w:val="18"/>
          <w:szCs w:val="18"/>
        </w:rPr>
        <w:t xml:space="preserve"> at the City of Vancouver</w:t>
      </w:r>
      <w:r>
        <w:rPr>
          <w:rFonts w:ascii="Arial" w:hAnsi="Arial" w:cs="Arial"/>
          <w:color w:val="646567"/>
          <w:kern w:val="0"/>
          <w:sz w:val="18"/>
          <w:szCs w:val="18"/>
        </w:rPr>
        <w:t xml:space="preserve">: </w:t>
      </w:r>
      <w:hyperlink r:id="rId8" w:history="1">
        <w:r w:rsidR="00FC1BFC" w:rsidRPr="00DB4420">
          <w:rPr>
            <w:rStyle w:val="Hyperlink"/>
            <w:rFonts w:ascii="Arial" w:hAnsi="Arial" w:cs="Arial"/>
            <w:kern w:val="0"/>
            <w:sz w:val="18"/>
            <w:szCs w:val="18"/>
          </w:rPr>
          <w:t>melanie.marchand@vancouver.ca</w:t>
        </w:r>
      </w:hyperlink>
    </w:p>
    <w:sectPr w:rsidR="00873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88" w:rsidRDefault="00880488" w:rsidP="00873660">
      <w:r>
        <w:separator/>
      </w:r>
    </w:p>
  </w:endnote>
  <w:endnote w:type="continuationSeparator" w:id="0">
    <w:p w:rsidR="00880488" w:rsidRDefault="00880488" w:rsidP="008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F" w:rsidRDefault="00E8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60" w:rsidRPr="00873660" w:rsidRDefault="00873660" w:rsidP="00873660">
    <w:pPr>
      <w:pStyle w:val="Footer"/>
      <w:jc w:val="center"/>
      <w:rPr>
        <w:rFonts w:ascii="Arial" w:hAnsi="Arial" w:cs="Arial"/>
      </w:rPr>
    </w:pPr>
    <w:r w:rsidRPr="00873660">
      <w:rPr>
        <w:rFonts w:ascii="Arial" w:hAnsi="Arial" w:cs="Arial"/>
      </w:rPr>
      <w:t>October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F" w:rsidRDefault="00E8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88" w:rsidRDefault="00880488" w:rsidP="00873660">
      <w:r>
        <w:separator/>
      </w:r>
    </w:p>
  </w:footnote>
  <w:footnote w:type="continuationSeparator" w:id="0">
    <w:p w:rsidR="00880488" w:rsidRDefault="00880488" w:rsidP="0087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F" w:rsidRDefault="00E8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402467"/>
      <w:docPartObj>
        <w:docPartGallery w:val="Watermarks"/>
        <w:docPartUnique/>
      </w:docPartObj>
    </w:sdtPr>
    <w:sdtEndPr/>
    <w:sdtContent>
      <w:p w:rsidR="00E876BF" w:rsidRDefault="0088048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BF" w:rsidRDefault="00E8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7BE"/>
    <w:multiLevelType w:val="hybridMultilevel"/>
    <w:tmpl w:val="EB720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3440E"/>
    <w:multiLevelType w:val="hybridMultilevel"/>
    <w:tmpl w:val="69704F78"/>
    <w:lvl w:ilvl="0" w:tplc="E8BAEC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5FA"/>
    <w:multiLevelType w:val="hybridMultilevel"/>
    <w:tmpl w:val="977036AE"/>
    <w:lvl w:ilvl="0" w:tplc="3D7898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1A"/>
    <w:rsid w:val="000E6A39"/>
    <w:rsid w:val="001F40C4"/>
    <w:rsid w:val="002F051A"/>
    <w:rsid w:val="0032492C"/>
    <w:rsid w:val="003E3D0B"/>
    <w:rsid w:val="004C3FCB"/>
    <w:rsid w:val="00561BAF"/>
    <w:rsid w:val="005A0C1C"/>
    <w:rsid w:val="005F28CD"/>
    <w:rsid w:val="0075662C"/>
    <w:rsid w:val="0078491F"/>
    <w:rsid w:val="007974D0"/>
    <w:rsid w:val="007F0BE9"/>
    <w:rsid w:val="00803BB1"/>
    <w:rsid w:val="00873660"/>
    <w:rsid w:val="00880488"/>
    <w:rsid w:val="00906FFC"/>
    <w:rsid w:val="009830A4"/>
    <w:rsid w:val="00A00C5F"/>
    <w:rsid w:val="00A11C8D"/>
    <w:rsid w:val="00A5506E"/>
    <w:rsid w:val="00A85EED"/>
    <w:rsid w:val="00A86F37"/>
    <w:rsid w:val="00AC7726"/>
    <w:rsid w:val="00AE2514"/>
    <w:rsid w:val="00B1361A"/>
    <w:rsid w:val="00CA311A"/>
    <w:rsid w:val="00CD6EA5"/>
    <w:rsid w:val="00D00077"/>
    <w:rsid w:val="00E55E89"/>
    <w:rsid w:val="00E876BF"/>
    <w:rsid w:val="00EC3CCF"/>
    <w:rsid w:val="00ED3E15"/>
    <w:rsid w:val="00F136CE"/>
    <w:rsid w:val="00F50D56"/>
    <w:rsid w:val="00F95CCB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8B129DB-DB29-4EA6-8C1F-628C557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5EED"/>
    <w:rPr>
      <w:rFonts w:ascii="Trebuchet MS" w:hAnsi="Trebuchet MS"/>
      <w:kern w:val="2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EED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85EED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A85EED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A85EED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A85EE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A85EED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A85EED"/>
    <w:pPr>
      <w:outlineLvl w:val="6"/>
    </w:pPr>
  </w:style>
  <w:style w:type="paragraph" w:styleId="Heading8">
    <w:name w:val="heading 8"/>
    <w:basedOn w:val="Heading7"/>
    <w:next w:val="Normal"/>
    <w:qFormat/>
    <w:rsid w:val="00A85EED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A85EED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5EED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85EED"/>
    <w:pPr>
      <w:tabs>
        <w:tab w:val="center" w:pos="4320"/>
        <w:tab w:val="right" w:pos="8640"/>
      </w:tabs>
    </w:pPr>
    <w:rPr>
      <w:kern w:val="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361A"/>
    <w:rPr>
      <w:rFonts w:ascii="Arial" w:hAnsi="Arial" w:cs="Arial"/>
      <w:b/>
      <w:bCs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B1361A"/>
    <w:rPr>
      <w:b/>
      <w:bCs/>
    </w:rPr>
  </w:style>
  <w:style w:type="paragraph" w:styleId="BalloonText">
    <w:name w:val="Balloon Text"/>
    <w:basedOn w:val="Normal"/>
    <w:link w:val="BalloonTextChar"/>
    <w:rsid w:val="00A5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06E"/>
    <w:rPr>
      <w:rFonts w:ascii="Tahoma" w:hAnsi="Tahoma" w:cs="Tahoma"/>
      <w:kern w:val="22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06E"/>
    <w:pPr>
      <w:ind w:left="720"/>
      <w:contextualSpacing/>
    </w:pPr>
  </w:style>
  <w:style w:type="character" w:styleId="Hyperlink">
    <w:name w:val="Hyperlink"/>
    <w:basedOn w:val="DefaultParagraphFont"/>
    <w:rsid w:val="0087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marchand@vancouver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899-9AE5-4091-B18C-F2EAC92E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Halverson</dc:creator>
  <cp:lastModifiedBy>Liz Perry</cp:lastModifiedBy>
  <cp:revision>3</cp:revision>
  <dcterms:created xsi:type="dcterms:W3CDTF">2019-10-11T16:49:00Z</dcterms:created>
  <dcterms:modified xsi:type="dcterms:W3CDTF">2019-10-11T16:50:00Z</dcterms:modified>
</cp:coreProperties>
</file>